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D0644F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</w:t>
      </w:r>
      <w:r w:rsidR="00D0644F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="00D0644F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D0644F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120036">
        <w:rPr>
          <w:noProof/>
        </w:rPr>
        <w:pict>
          <v:shape id="Dowolny kształt: kształt 1" o:spid="_x0000_s1027" style="position:absolute;margin-left:-8.85pt;margin-top:-.05pt;width:15.95pt;height:17.25pt;z-index:251659264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120036" w:rsidRPr="00120036">
        <w:rPr>
          <w:noProof/>
        </w:rPr>
        <w:pict>
          <v:shape id="Dowolny kształt: kształt 2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0644F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="00D0644F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D0644F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D0644F" w:rsidRDefault="00D0644F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D0644F" w:rsidRDefault="00B60789" w:rsidP="00D0644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D0644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</w:t>
      </w:r>
      <w:r w:rsidR="00D0644F" w:rsidRPr="00137AF2">
        <w:rPr>
          <w:rFonts w:eastAsia="Arial" w:cs="Times New Roman"/>
          <w:b/>
          <w:color w:val="000000"/>
          <w:sz w:val="22"/>
          <w:szCs w:val="22"/>
          <w:u w:val="single"/>
        </w:rPr>
        <w:t>nieobowiązkowy</w:t>
      </w:r>
      <w:r w:rsidR="00D0644F" w:rsidRPr="00137AF2">
        <w:rPr>
          <w:rFonts w:eastAsia="Arial" w:cs="Times New Roman"/>
          <w:bCs/>
          <w:color w:val="000000"/>
          <w:sz w:val="22"/>
          <w:szCs w:val="22"/>
        </w:rPr>
        <w:t xml:space="preserve"> mogą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D0644F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D0644F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172D2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D0644F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D0644F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 w:rsidR="00D0644F">
        <w:rPr>
          <w:rFonts w:eastAsia="Arial" w:cs="Times New Roman"/>
          <w:color w:val="000000"/>
          <w:sz w:val="18"/>
          <w:szCs w:val="18"/>
        </w:rPr>
        <w:t xml:space="preserve">się urządzenie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D0644F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D0644F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D0644F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takiedochody</w:t>
      </w:r>
      <w:r w:rsidR="00A550A6">
        <w:rPr>
          <w:rFonts w:eastAsia="Arial" w:cs="Times New Roman"/>
          <w:color w:val="000000"/>
          <w:sz w:val="18"/>
          <w:szCs w:val="18"/>
        </w:rPr>
        <w:t>,n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D0644F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D0644F" w:rsidRPr="0002490A" w:rsidRDefault="00D0644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D90D9D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     </w:t>
      </w:r>
      <w:r w:rsidR="00193541"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193541"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D90D9D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               </w:t>
      </w:r>
      <w:r w:rsidR="00B60789">
        <w:rPr>
          <w:rFonts w:eastAsia="Arial" w:cs="Times New Roman"/>
          <w:color w:val="000000"/>
          <w:sz w:val="20"/>
        </w:rPr>
        <w:t>(m</w:t>
      </w:r>
      <w:r w:rsidR="00B60789" w:rsidRPr="0002490A">
        <w:rPr>
          <w:rFonts w:eastAsia="Arial" w:cs="Times New Roman"/>
          <w:color w:val="000000"/>
          <w:sz w:val="20"/>
        </w:rPr>
        <w:t>iejscowo</w:t>
      </w:r>
      <w:r w:rsidR="00B60789">
        <w:rPr>
          <w:rFonts w:eastAsia="Arial" w:cs="Times New Roman"/>
          <w:color w:val="000000"/>
          <w:sz w:val="20"/>
        </w:rPr>
        <w:t>ść)</w:t>
      </w:r>
      <w:r w:rsidR="00B60789"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 w:rsidR="00B60789"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 w:rsidR="00B60789">
        <w:rPr>
          <w:rFonts w:eastAsia="Arial" w:cs="Times New Roman"/>
          <w:color w:val="000000"/>
          <w:sz w:val="20"/>
        </w:rPr>
        <w:t>rrrr)</w:t>
      </w:r>
      <w:r w:rsidR="00B60789"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ab/>
        <w:t>(p</w:t>
      </w:r>
      <w:r w:rsidR="00B60789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B60789" w:rsidRPr="00983F3A">
        <w:rPr>
          <w:rStyle w:val="Ppogrubienie"/>
          <w:b w:val="0"/>
          <w:sz w:val="20"/>
        </w:rPr>
        <w:t>)</w:t>
      </w:r>
      <w:r w:rsidR="00B60789"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0644F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D90D9D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     </w:t>
      </w:r>
      <w:r w:rsidR="0054597F"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54597F"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D90D9D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  </w:t>
      </w:r>
      <w:r w:rsidR="00B60789">
        <w:rPr>
          <w:rFonts w:eastAsia="Arial" w:cs="Times New Roman"/>
          <w:color w:val="000000"/>
          <w:sz w:val="20"/>
        </w:rPr>
        <w:t>(m</w:t>
      </w:r>
      <w:r w:rsidR="00B60789" w:rsidRPr="0002490A">
        <w:rPr>
          <w:rFonts w:eastAsia="Arial" w:cs="Times New Roman"/>
          <w:color w:val="000000"/>
          <w:sz w:val="20"/>
        </w:rPr>
        <w:t>iejscowo</w:t>
      </w:r>
      <w:r w:rsidR="00B60789">
        <w:rPr>
          <w:rFonts w:eastAsia="Arial" w:cs="Times New Roman"/>
          <w:color w:val="000000"/>
          <w:sz w:val="20"/>
        </w:rPr>
        <w:t>ść)</w:t>
      </w:r>
      <w:r w:rsidR="00B60789"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 w:rsidR="00B60789"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 w:rsidR="00B60789">
        <w:rPr>
          <w:rFonts w:eastAsia="Arial" w:cs="Times New Roman"/>
          <w:color w:val="000000"/>
          <w:sz w:val="20"/>
        </w:rPr>
        <w:t>rrrr)</w:t>
      </w:r>
      <w:r w:rsidR="00B60789"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ab/>
        <w:t>(p</w:t>
      </w:r>
      <w:r w:rsidR="00B60789"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D0644F">
      <w:headerReference w:type="default" r:id="rId8"/>
      <w:footnotePr>
        <w:numRestart w:val="eachSect"/>
      </w:footnotePr>
      <w:pgSz w:w="11906" w:h="16838"/>
      <w:pgMar w:top="1276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93" w:rsidRDefault="00AF1393" w:rsidP="00B60789">
      <w:pPr>
        <w:spacing w:line="240" w:lineRule="auto"/>
      </w:pPr>
      <w:r>
        <w:separator/>
      </w:r>
    </w:p>
  </w:endnote>
  <w:endnote w:type="continuationSeparator" w:id="0">
    <w:p w:rsidR="00AF1393" w:rsidRDefault="00AF139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93" w:rsidRDefault="00AF1393" w:rsidP="00B60789">
      <w:pPr>
        <w:spacing w:line="240" w:lineRule="auto"/>
      </w:pPr>
      <w:r>
        <w:separator/>
      </w:r>
    </w:p>
  </w:footnote>
  <w:footnote w:type="continuationSeparator" w:id="0">
    <w:p w:rsidR="00AF1393" w:rsidRDefault="00AF139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120036">
      <w:fldChar w:fldCharType="begin"/>
    </w:r>
    <w:r>
      <w:instrText xml:space="preserve"> PAGE  \* MERGEFORMAT </w:instrText>
    </w:r>
    <w:r w:rsidR="00120036">
      <w:fldChar w:fldCharType="separate"/>
    </w:r>
    <w:r w:rsidR="00D0644F">
      <w:rPr>
        <w:noProof/>
      </w:rPr>
      <w:t>10</w:t>
    </w:r>
    <w:r w:rsidR="0012003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0036"/>
    <w:rsid w:val="00122D3C"/>
    <w:rsid w:val="00130404"/>
    <w:rsid w:val="00137AF2"/>
    <w:rsid w:val="00155B07"/>
    <w:rsid w:val="001675D5"/>
    <w:rsid w:val="00172D22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5142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213C4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AF1393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0644F"/>
    <w:rsid w:val="00D42009"/>
    <w:rsid w:val="00D455F7"/>
    <w:rsid w:val="00D6785F"/>
    <w:rsid w:val="00D83053"/>
    <w:rsid w:val="00D90D9D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3481</Words>
  <Characters>20890</Characters>
  <Application>Microsoft Office Word</Application>
  <DocSecurity>0</DocSecurity>
  <Lines>174</Lines>
  <Paragraphs>48</Paragraphs>
  <ScaleCrop>false</ScaleCrop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2024-01-30T11:35:00Z</dcterms:created>
  <dcterms:modified xsi:type="dcterms:W3CDTF">2024-01-30T11:35:00Z</dcterms:modified>
</cp:coreProperties>
</file>