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277A" w:rsidRDefault="00CF277A" w:rsidP="00CF277A">
      <w:pPr>
        <w:jc w:val="center"/>
        <w:rPr>
          <w:b/>
          <w:sz w:val="32"/>
        </w:rPr>
      </w:pPr>
      <w:bookmarkStart w:id="0" w:name="_GoBack"/>
      <w:bookmarkEnd w:id="0"/>
      <w:r w:rsidRPr="00CF277A">
        <w:rPr>
          <w:b/>
          <w:sz w:val="32"/>
        </w:rPr>
        <w:t>REWITALIZACJA W WOJEWÓDZTWIE LUBELSKIM</w:t>
      </w:r>
    </w:p>
    <w:p w:rsidR="005C3C06" w:rsidRDefault="00CF277A" w:rsidP="00CF277A">
      <w:pPr>
        <w:jc w:val="center"/>
        <w:rPr>
          <w:b/>
          <w:sz w:val="32"/>
        </w:rPr>
      </w:pPr>
      <w:r w:rsidRPr="00CF277A">
        <w:rPr>
          <w:b/>
          <w:sz w:val="32"/>
        </w:rPr>
        <w:t>Fundusze Europejskie dla lubelskiego na lata 2021-2027</w:t>
      </w:r>
    </w:p>
    <w:p w:rsidR="00CF277A" w:rsidRPr="00572BC4" w:rsidRDefault="00572BC4" w:rsidP="00572BC4">
      <w:pPr>
        <w:rPr>
          <w:b/>
          <w:color w:val="4472C4" w:themeColor="accent5"/>
          <w:sz w:val="28"/>
          <w:szCs w:val="28"/>
        </w:rPr>
      </w:pPr>
      <w:r w:rsidRPr="00572BC4">
        <w:rPr>
          <w:b/>
          <w:color w:val="4472C4" w:themeColor="accent5"/>
          <w:sz w:val="28"/>
          <w:szCs w:val="28"/>
        </w:rPr>
        <w:t>PROJEKTY INFRASTRUKTURALNE</w:t>
      </w:r>
    </w:p>
    <w:p w:rsidR="00CF277A" w:rsidRPr="000739B4" w:rsidRDefault="00572BC4" w:rsidP="00CF277A">
      <w:pPr>
        <w:rPr>
          <w:b/>
          <w:color w:val="4472C4" w:themeColor="accent5"/>
        </w:rPr>
      </w:pPr>
      <w:r w:rsidRPr="000739B4">
        <w:rPr>
          <w:b/>
          <w:color w:val="4472C4" w:themeColor="accent5"/>
        </w:rPr>
        <w:t xml:space="preserve">Priorytet 11 Rozwój zrównoważony terytorialnie </w:t>
      </w:r>
    </w:p>
    <w:p w:rsidR="00572BC4" w:rsidRPr="000739B4" w:rsidRDefault="00572BC4" w:rsidP="00572BC4">
      <w:pPr>
        <w:rPr>
          <w:b/>
          <w:color w:val="4472C4" w:themeColor="accent5"/>
        </w:rPr>
      </w:pPr>
      <w:r w:rsidRPr="000739B4">
        <w:rPr>
          <w:b/>
          <w:color w:val="4472C4" w:themeColor="accent5"/>
        </w:rPr>
        <w:t>11.01 Rewitalizacja zdegradowanych obszarów miejskich</w:t>
      </w:r>
    </w:p>
    <w:p w:rsidR="00572BC4" w:rsidRDefault="00572BC4" w:rsidP="00572BC4">
      <w:r w:rsidRPr="00572BC4">
        <w:t>Wsparcie zostanie ukierunkowane na</w:t>
      </w:r>
      <w:r>
        <w:t>:</w:t>
      </w:r>
    </w:p>
    <w:p w:rsidR="00572BC4" w:rsidRPr="00572BC4" w:rsidRDefault="00572BC4" w:rsidP="009161E9">
      <w:pPr>
        <w:pStyle w:val="Akapitzlist"/>
        <w:numPr>
          <w:ilvl w:val="0"/>
          <w:numId w:val="1"/>
        </w:numPr>
        <w:jc w:val="both"/>
      </w:pPr>
      <w:r w:rsidRPr="00572BC4">
        <w:t>Przebudowę, rozbudowę lub modernizację zdegradowanych budynków, w tym m.in. budynków poprzemysłowych, powojskowych w celu przywrócenia lub nadania im nowych funkcji użytkowych, np. społecznych, gospodarczych, turystycznych lub kulturalnych wraz z zagospodarowaniem terenu funkcjonalnie związanego z obiektem</w:t>
      </w:r>
    </w:p>
    <w:p w:rsidR="00572BC4" w:rsidRDefault="00572BC4" w:rsidP="009161E9">
      <w:pPr>
        <w:pStyle w:val="Akapitzlist"/>
        <w:numPr>
          <w:ilvl w:val="0"/>
          <w:numId w:val="1"/>
        </w:numPr>
        <w:jc w:val="both"/>
      </w:pPr>
      <w:r w:rsidRPr="00572BC4">
        <w:t>Roboty restauratorskie i konserwatorskie budynków znajdujących się w rejestrze zabytków, budynków położonych w strefie ochrony konserwatorskiej oraz budynków o wartości architektonicznej i znaczeniu historycznym nie będących w rejestrze zabytków i ich wyposażenia niezbędnego dla wprowadzenia funkcji, jaką będzie pełnić będzie budynek po realizacji projektu w celu przywrócenia lub nadania im nowych funkcji użytkowych, np. społecznych, gospodarczych, turystycznych lub kulturalnych wraz z zagospodarowaniem terenu funkcjonalnie związanego z obiektem</w:t>
      </w:r>
    </w:p>
    <w:p w:rsidR="00572BC4" w:rsidRPr="00572BC4" w:rsidRDefault="00572BC4" w:rsidP="009161E9">
      <w:pPr>
        <w:pStyle w:val="Akapitzlist"/>
        <w:numPr>
          <w:ilvl w:val="0"/>
          <w:numId w:val="1"/>
        </w:numPr>
        <w:jc w:val="both"/>
      </w:pPr>
      <w:r w:rsidRPr="00572BC4">
        <w:t>Uporządkowanie i zagospodarowanie zdegradowanych przestrzeni publicznych (przebudowa lub modernizacja) w celu przywrócenia lub nadania im nowych funkcji użytkowych, np. społecznych, gospodarczych, turystycznych lub kulturalnych wyłącznie jako element zapewniający spójność kompleksowych projektów rewitalizacyjnych</w:t>
      </w:r>
    </w:p>
    <w:p w:rsidR="00572BC4" w:rsidRPr="00572BC4" w:rsidRDefault="00572BC4" w:rsidP="009161E9">
      <w:pPr>
        <w:pStyle w:val="Akapitzlist"/>
        <w:numPr>
          <w:ilvl w:val="0"/>
          <w:numId w:val="1"/>
        </w:numPr>
        <w:jc w:val="both"/>
      </w:pPr>
      <w:r w:rsidRPr="00572BC4">
        <w:t>Zakup wyposażenia - wyłącznie jako element projektów dotyczących adaptacji budynków na cele np. gospodarcze, społeczne, turystyczne lub kulturalne i bezpośrednio związanego z funkcją, jaką będzie pełnić będzie budynek po realizacji projektu (do 20% kosztów kwalifikowanych)</w:t>
      </w:r>
    </w:p>
    <w:p w:rsidR="00572BC4" w:rsidRDefault="00572BC4" w:rsidP="009161E9">
      <w:pPr>
        <w:pStyle w:val="Akapitzlist"/>
        <w:numPr>
          <w:ilvl w:val="0"/>
          <w:numId w:val="1"/>
        </w:numPr>
        <w:jc w:val="both"/>
      </w:pPr>
      <w:r w:rsidRPr="00572BC4">
        <w:t>Roboty budowlane i modernizacyjne infrastruktury technicznej (wodnokanalizacyjna, ciepłownicza, elektryczna, gazowa, telekomunikacyjna oraz infrastruktura z zakresu gospodarki odpadami) - wyłącznie jako element zapewniający spójność kompleksowych projektów rewitalizacyjnych (do 25% kosztów kwalifikowanych</w:t>
      </w:r>
    </w:p>
    <w:p w:rsidR="00572BC4" w:rsidRPr="00572BC4" w:rsidRDefault="00572BC4" w:rsidP="009161E9">
      <w:pPr>
        <w:pStyle w:val="Akapitzlist"/>
        <w:numPr>
          <w:ilvl w:val="0"/>
          <w:numId w:val="1"/>
        </w:numPr>
        <w:jc w:val="both"/>
      </w:pPr>
      <w:r w:rsidRPr="00572BC4">
        <w:t>Rozwój miejskich terenów zielonych - wyłącznie jako element zapewniający spójność kompleksowych projektów rewitalizacyjnych</w:t>
      </w:r>
    </w:p>
    <w:p w:rsidR="00572BC4" w:rsidRPr="00572BC4" w:rsidRDefault="00572BC4" w:rsidP="009161E9">
      <w:pPr>
        <w:pStyle w:val="Akapitzlist"/>
        <w:numPr>
          <w:ilvl w:val="0"/>
          <w:numId w:val="1"/>
        </w:numPr>
        <w:jc w:val="both"/>
      </w:pPr>
      <w:r w:rsidRPr="00572BC4">
        <w:t>Przebudowę lub modernizację budynków w celu adaptacji na działalność przedsiębiorstw, w tym przedsiębiorstw społecznych wraz z zakupem wyposażenia niezbędnego do prowadzenia niniejszej działalności</w:t>
      </w:r>
    </w:p>
    <w:p w:rsidR="00572BC4" w:rsidRDefault="00572BC4" w:rsidP="009161E9">
      <w:pPr>
        <w:pStyle w:val="Akapitzlist"/>
        <w:numPr>
          <w:ilvl w:val="0"/>
          <w:numId w:val="1"/>
        </w:numPr>
        <w:jc w:val="both"/>
      </w:pPr>
      <w:r w:rsidRPr="00572BC4">
        <w:t>Fizyczną odnowę i bezpieczeństwo przestrzeni publicznych, tj. w szczególności: zwiększanie odporności lokalnej gospodarki, w tym infrastruktury, na nieprzewidziane sytuacje kryzysowe</w:t>
      </w:r>
    </w:p>
    <w:p w:rsidR="00572BC4" w:rsidRDefault="009161E9" w:rsidP="009161E9">
      <w:pPr>
        <w:pStyle w:val="Akapitzlist"/>
        <w:numPr>
          <w:ilvl w:val="0"/>
          <w:numId w:val="1"/>
        </w:numPr>
        <w:jc w:val="both"/>
      </w:pPr>
      <w:r w:rsidRPr="00572BC4">
        <w:t xml:space="preserve">Do dofinansowania kwalifikują się wyłącznie przedsięwzięcia ujęte na liście podstawowej GPR, który został pozytywnie zaopiniowany przez IZ i umieszczony na wykazie prowadzonym przez </w:t>
      </w:r>
      <w:r w:rsidR="00572BC4">
        <w:t>IŻ</w:t>
      </w:r>
    </w:p>
    <w:p w:rsidR="00572BC4" w:rsidRDefault="009161E9" w:rsidP="009161E9">
      <w:pPr>
        <w:pStyle w:val="Akapitzlist"/>
        <w:numPr>
          <w:ilvl w:val="0"/>
          <w:numId w:val="1"/>
        </w:numPr>
        <w:jc w:val="both"/>
      </w:pPr>
      <w:r w:rsidRPr="00572BC4">
        <w:t>Do dofinansowania kwalifikują się wyłącznie przedsięwzięcia, które będą realizowane na obszarze rewitalizacji</w:t>
      </w:r>
    </w:p>
    <w:p w:rsidR="00572BC4" w:rsidRDefault="009161E9" w:rsidP="009161E9">
      <w:pPr>
        <w:pStyle w:val="Akapitzlist"/>
        <w:numPr>
          <w:ilvl w:val="0"/>
          <w:numId w:val="1"/>
        </w:numPr>
        <w:jc w:val="both"/>
      </w:pPr>
      <w:r w:rsidRPr="00572BC4">
        <w:t xml:space="preserve">W ramach rewitalizacji realizacja działań inwestycyjnych będzie uzależniona od potrzeb społecznych mieszkańców obszaru rewitalizacji poprzez powiązanie działań </w:t>
      </w:r>
      <w:r w:rsidRPr="00572BC4">
        <w:lastRenderedPageBreak/>
        <w:t>infrastrukturalnych z działaniami nieinfrastrukturalnymi, w szczególności współfinansowanymi z EFS+</w:t>
      </w:r>
    </w:p>
    <w:p w:rsidR="00572BC4" w:rsidRDefault="009161E9" w:rsidP="009161E9">
      <w:pPr>
        <w:pStyle w:val="Akapitzlist"/>
        <w:numPr>
          <w:ilvl w:val="0"/>
          <w:numId w:val="1"/>
        </w:numPr>
        <w:jc w:val="both"/>
      </w:pPr>
      <w:r w:rsidRPr="00572BC4">
        <w:t>W ramach Działania przewidziano wsparcie działań społecznych obejmujących m.in. inwestycje na rzecz aktywizacji środowisk zagrożonych wykluczeniem społecznym i ubogich. Wartość niniejszych zadań nie może przekroczyć 15% współfinansowania unijnego projektu</w:t>
      </w:r>
    </w:p>
    <w:p w:rsidR="00572BC4" w:rsidRDefault="00572BC4" w:rsidP="009161E9">
      <w:pPr>
        <w:pStyle w:val="Akapitzlist"/>
        <w:numPr>
          <w:ilvl w:val="0"/>
          <w:numId w:val="1"/>
        </w:numPr>
        <w:jc w:val="both"/>
      </w:pPr>
      <w:r w:rsidRPr="00572BC4">
        <w:t xml:space="preserve">Inwestycje w </w:t>
      </w:r>
      <w:r w:rsidRPr="00572BC4">
        <w:rPr>
          <w:b/>
        </w:rPr>
        <w:t>elementy infrastruktury drogowej (w tym w parkingi)</w:t>
      </w:r>
      <w:r w:rsidRPr="00572BC4">
        <w:t xml:space="preserve"> nie będą wspierane w ramach rewitalizacji, chyba że stanowią nieodłączny element większego projektu, nie są one dominującym elementem tego projektu a ich koszt nie przekracza 15% kosztów kwalifikowalnych projektu. Projekty te nie mogą obejmować budowy nowych dróg lub parkingów oraz w odniesieniu do istniejących - zwiększenia ich pojemności lub przepustowości, ani nie mogą w żaden inny sposób przyczyniać się do zwiększenia natężenia ruchu samochodowego. Ograniczeniu temu podlegają wszelkie parkingi, w tym parkingi będące powierzchniami utwardzonymi, budowlami/budynkami</w:t>
      </w:r>
    </w:p>
    <w:p w:rsidR="00572BC4" w:rsidRDefault="00572BC4" w:rsidP="009161E9">
      <w:pPr>
        <w:pStyle w:val="Akapitzlist"/>
        <w:numPr>
          <w:ilvl w:val="0"/>
          <w:numId w:val="1"/>
        </w:numPr>
        <w:jc w:val="both"/>
      </w:pPr>
      <w:r w:rsidRPr="00572BC4">
        <w:t>Należy szczególnie zadbać o zachowanie i rozwój zielonej infrastruktury, zwłaszcza ochronę drzew, w całym cyklu projektowym, w tym poprzez stosowanie standardów ochrony zieleni, zwiększanie powierzchni biologicznie czynnych, unikanie tworzenia powierzchni uszczelnionych</w:t>
      </w:r>
      <w:r>
        <w:t>.</w:t>
      </w:r>
    </w:p>
    <w:p w:rsidR="00572BC4" w:rsidRDefault="00572BC4" w:rsidP="009161E9">
      <w:pPr>
        <w:pStyle w:val="Akapitzlist"/>
        <w:numPr>
          <w:ilvl w:val="0"/>
          <w:numId w:val="1"/>
        </w:numPr>
        <w:jc w:val="both"/>
      </w:pPr>
      <w:r w:rsidRPr="00572BC4">
        <w:t xml:space="preserve">Działania mające na celu poprawę dostępności do usług społecznych będą musiały wykazać zgodność ze strategią </w:t>
      </w:r>
      <w:proofErr w:type="spellStart"/>
      <w:r w:rsidRPr="00572BC4">
        <w:t>deinstytucjonalizacji</w:t>
      </w:r>
      <w:proofErr w:type="spellEnd"/>
      <w:r w:rsidRPr="00572BC4">
        <w:t>. Inwestycje infrastrukturalne w placówki świadczące całodobową opiekę długoterminową w instytucjonalnych formach są niedozwolone</w:t>
      </w:r>
      <w:r>
        <w:t>.</w:t>
      </w:r>
    </w:p>
    <w:p w:rsidR="00572BC4" w:rsidRDefault="00572BC4" w:rsidP="009161E9">
      <w:pPr>
        <w:pStyle w:val="Akapitzlist"/>
        <w:numPr>
          <w:ilvl w:val="0"/>
          <w:numId w:val="1"/>
        </w:numPr>
        <w:jc w:val="both"/>
      </w:pPr>
      <w:r w:rsidRPr="00572BC4">
        <w:t>Przedsięwzięcia infrastrukturalne w sektorze kultury ukierunkowane będą na rozwijanie aktywności społecznej m.in. poprzez tworzenie/adaptację/ dostosowanie budynków i przestrzeni do realizacji oferty kulturalno-edukacyjnej, rozwój innowacji społecznych</w:t>
      </w:r>
    </w:p>
    <w:p w:rsidR="00572BC4" w:rsidRDefault="00572BC4" w:rsidP="009161E9">
      <w:pPr>
        <w:pStyle w:val="Akapitzlist"/>
        <w:numPr>
          <w:ilvl w:val="0"/>
          <w:numId w:val="1"/>
        </w:numPr>
        <w:jc w:val="both"/>
      </w:pPr>
      <w:r w:rsidRPr="00572BC4">
        <w:t>Co do zasady wsparcie w sektorze kultury nie będzie obejmować budowy nowych obiektów. Wyjątek od powyższej zasady dotyczy odtworzenia zabudowy zdegradowanej w stopniu uniemożliwiającym jej regenerację/renowację (zastąpienie starego budynku nowym)</w:t>
      </w:r>
    </w:p>
    <w:p w:rsidR="00572BC4" w:rsidRDefault="00572BC4" w:rsidP="009161E9">
      <w:pPr>
        <w:pStyle w:val="Akapitzlist"/>
        <w:numPr>
          <w:ilvl w:val="0"/>
          <w:numId w:val="1"/>
        </w:numPr>
        <w:jc w:val="both"/>
      </w:pPr>
      <w:r w:rsidRPr="00572BC4">
        <w:t>Wsparcie rozwoju turystyki, co do zasady nie będzie obejmować budowy nowych obiektów budowlanych, które są budynkami.</w:t>
      </w:r>
    </w:p>
    <w:p w:rsidR="00572BC4" w:rsidRDefault="009161E9" w:rsidP="009161E9">
      <w:pPr>
        <w:pStyle w:val="Akapitzlist"/>
        <w:numPr>
          <w:ilvl w:val="0"/>
          <w:numId w:val="1"/>
        </w:numPr>
        <w:jc w:val="both"/>
      </w:pPr>
      <w:r w:rsidRPr="00572BC4">
        <w:t xml:space="preserve">Wsparcie rozwoju turystyki będzie skierowane na projekty turystyczne, które są wspierane odpowiednią analizą popytu i oceną potrzeb w celu ograniczenia ryzyka nieefektywności, są skoordynowane z projektami w sąsiednich obszarach, unikając nakładania się i konkurencji oraz mają wpływ wykraczający poza sam projekt na stymulowanie aktywności turystycznej </w:t>
      </w:r>
      <w:r w:rsidRPr="00572BC4">
        <w:br/>
        <w:t>w regionie, jak również są trwałe i będą utrzymywane po ich zakończeniu</w:t>
      </w:r>
      <w:r w:rsidR="00572BC4">
        <w:t>.</w:t>
      </w:r>
    </w:p>
    <w:p w:rsidR="001D2003" w:rsidRPr="00572BC4" w:rsidRDefault="009161E9" w:rsidP="009161E9">
      <w:pPr>
        <w:pStyle w:val="Akapitzlist"/>
        <w:numPr>
          <w:ilvl w:val="0"/>
          <w:numId w:val="1"/>
        </w:numPr>
        <w:jc w:val="both"/>
      </w:pPr>
      <w:r w:rsidRPr="00572BC4">
        <w:t>Ze wsparcia wyłączone są budynki/pomieszczenia w których prowadzona jest działalność administracyjno-biurowa organów administracji publicznej.</w:t>
      </w:r>
    </w:p>
    <w:p w:rsidR="00572BC4" w:rsidRPr="00572BC4" w:rsidRDefault="00572BC4" w:rsidP="009161E9">
      <w:pPr>
        <w:jc w:val="both"/>
      </w:pPr>
      <w:r w:rsidRPr="000739B4">
        <w:rPr>
          <w:b/>
          <w:color w:val="4472C4" w:themeColor="accent5"/>
        </w:rPr>
        <w:t>Poziom dofinansowania</w:t>
      </w:r>
      <w:r w:rsidRPr="000739B4">
        <w:rPr>
          <w:color w:val="4472C4" w:themeColor="accent5"/>
        </w:rPr>
        <w:t xml:space="preserve"> </w:t>
      </w:r>
      <w:r w:rsidRPr="00572BC4">
        <w:t>– do 85%</w:t>
      </w:r>
    </w:p>
    <w:p w:rsidR="000739B4" w:rsidRPr="000739B4" w:rsidRDefault="000739B4" w:rsidP="009161E9">
      <w:pPr>
        <w:jc w:val="both"/>
        <w:rPr>
          <w:b/>
          <w:color w:val="4472C4" w:themeColor="accent5"/>
        </w:rPr>
      </w:pPr>
      <w:r w:rsidRPr="000739B4">
        <w:rPr>
          <w:b/>
          <w:color w:val="4472C4" w:themeColor="accent5"/>
        </w:rPr>
        <w:t>Przykładowe wskaźniki produktu:</w:t>
      </w:r>
    </w:p>
    <w:p w:rsidR="000739B4" w:rsidRDefault="000739B4" w:rsidP="009161E9">
      <w:pPr>
        <w:pStyle w:val="Akapitzlist"/>
        <w:numPr>
          <w:ilvl w:val="0"/>
          <w:numId w:val="4"/>
        </w:numPr>
        <w:jc w:val="both"/>
      </w:pPr>
      <w:r w:rsidRPr="000739B4">
        <w:t>Liczba obiektów dostosowanych do potrzeb osób z niepełnosprawnościami</w:t>
      </w:r>
    </w:p>
    <w:p w:rsidR="000739B4" w:rsidRDefault="000739B4" w:rsidP="009161E9">
      <w:pPr>
        <w:pStyle w:val="Akapitzlist"/>
        <w:numPr>
          <w:ilvl w:val="0"/>
          <w:numId w:val="4"/>
        </w:numPr>
        <w:jc w:val="both"/>
      </w:pPr>
      <w:r w:rsidRPr="000739B4">
        <w:t>Liczba obiektów kulturalnych i turystycznych objętych wsparciem</w:t>
      </w:r>
    </w:p>
    <w:p w:rsidR="000739B4" w:rsidRDefault="000739B4" w:rsidP="009161E9">
      <w:pPr>
        <w:pStyle w:val="Akapitzlist"/>
        <w:numPr>
          <w:ilvl w:val="0"/>
          <w:numId w:val="4"/>
        </w:numPr>
        <w:jc w:val="both"/>
      </w:pPr>
      <w:r w:rsidRPr="000739B4">
        <w:t>Liczba projektów, w których sfinansowano koszty racjonalnych usprawnień dla osób z niepełnosprawnościami</w:t>
      </w:r>
    </w:p>
    <w:p w:rsidR="000739B4" w:rsidRDefault="000739B4" w:rsidP="009161E9">
      <w:pPr>
        <w:pStyle w:val="Akapitzlist"/>
        <w:numPr>
          <w:ilvl w:val="0"/>
          <w:numId w:val="4"/>
        </w:numPr>
        <w:jc w:val="both"/>
      </w:pPr>
      <w:r w:rsidRPr="000739B4">
        <w:t>Liczba wspartych budynków mieszkalnych zlokalizowanych na rewitalizowanych obszarach</w:t>
      </w:r>
    </w:p>
    <w:p w:rsidR="000739B4" w:rsidRDefault="000739B4" w:rsidP="009161E9">
      <w:pPr>
        <w:pStyle w:val="Akapitzlist"/>
        <w:numPr>
          <w:ilvl w:val="0"/>
          <w:numId w:val="4"/>
        </w:numPr>
        <w:jc w:val="both"/>
      </w:pPr>
      <w:r w:rsidRPr="000739B4">
        <w:t>Liczba wspartych dużych, małych i mikro przedsiębiorstw</w:t>
      </w:r>
    </w:p>
    <w:p w:rsidR="000739B4" w:rsidRDefault="000739B4" w:rsidP="009161E9">
      <w:pPr>
        <w:pStyle w:val="Akapitzlist"/>
        <w:numPr>
          <w:ilvl w:val="0"/>
          <w:numId w:val="4"/>
        </w:numPr>
        <w:jc w:val="both"/>
      </w:pPr>
      <w:r w:rsidRPr="000739B4">
        <w:t>Liczba wspartych obiektów infrastruktury (innych niż budynki mieszkalne) zlokalizowanych na rewitalizowanych obszarach</w:t>
      </w:r>
    </w:p>
    <w:p w:rsidR="000739B4" w:rsidRDefault="000739B4" w:rsidP="009161E9">
      <w:pPr>
        <w:pStyle w:val="Akapitzlist"/>
        <w:numPr>
          <w:ilvl w:val="0"/>
          <w:numId w:val="4"/>
        </w:numPr>
        <w:jc w:val="both"/>
      </w:pPr>
      <w:r w:rsidRPr="000739B4">
        <w:lastRenderedPageBreak/>
        <w:t>Otwarta przestrzeń utworzona lub rekultywowana na obszarach miejskich</w:t>
      </w:r>
    </w:p>
    <w:p w:rsidR="00572BC4" w:rsidRDefault="000739B4" w:rsidP="009161E9">
      <w:pPr>
        <w:pStyle w:val="Akapitzlist"/>
        <w:numPr>
          <w:ilvl w:val="0"/>
          <w:numId w:val="4"/>
        </w:numPr>
        <w:jc w:val="both"/>
      </w:pPr>
      <w:r w:rsidRPr="000739B4">
        <w:t>Powierzchnia obszarów objętych rewitalizacją</w:t>
      </w:r>
    </w:p>
    <w:p w:rsidR="000739B4" w:rsidRPr="000739B4" w:rsidRDefault="000739B4" w:rsidP="009161E9">
      <w:pPr>
        <w:jc w:val="both"/>
        <w:rPr>
          <w:color w:val="4472C4" w:themeColor="accent5"/>
        </w:rPr>
      </w:pPr>
      <w:r w:rsidRPr="000739B4">
        <w:rPr>
          <w:b/>
          <w:bCs/>
          <w:color w:val="4472C4" w:themeColor="accent5"/>
        </w:rPr>
        <w:t>Przykładowe wskaźniki rezultatu:</w:t>
      </w:r>
    </w:p>
    <w:p w:rsidR="000739B4" w:rsidRDefault="009161E9" w:rsidP="009161E9">
      <w:pPr>
        <w:pStyle w:val="Akapitzlist"/>
        <w:numPr>
          <w:ilvl w:val="0"/>
          <w:numId w:val="6"/>
        </w:numPr>
        <w:jc w:val="both"/>
      </w:pPr>
      <w:r w:rsidRPr="000739B4">
        <w:t>Liczba ludności zamieszkującej obszar rewitalizacji</w:t>
      </w:r>
    </w:p>
    <w:p w:rsidR="000739B4" w:rsidRDefault="009161E9" w:rsidP="009161E9">
      <w:pPr>
        <w:pStyle w:val="Akapitzlist"/>
        <w:numPr>
          <w:ilvl w:val="0"/>
          <w:numId w:val="6"/>
        </w:numPr>
        <w:jc w:val="both"/>
      </w:pPr>
      <w:r w:rsidRPr="000739B4">
        <w:t>Liczba osób odwiedzających obiekty kulturalne i turystyczne objęte wsparciem</w:t>
      </w:r>
    </w:p>
    <w:p w:rsidR="000739B4" w:rsidRDefault="009161E9" w:rsidP="009161E9">
      <w:pPr>
        <w:pStyle w:val="Akapitzlist"/>
        <w:numPr>
          <w:ilvl w:val="0"/>
          <w:numId w:val="6"/>
        </w:numPr>
        <w:jc w:val="both"/>
      </w:pPr>
      <w:r w:rsidRPr="000739B4">
        <w:t>Liczba przedsiębiorstw ulokowanych na zrewitalizowanych obszarach</w:t>
      </w:r>
    </w:p>
    <w:p w:rsidR="000739B4" w:rsidRDefault="009161E9" w:rsidP="009161E9">
      <w:pPr>
        <w:pStyle w:val="Akapitzlist"/>
        <w:numPr>
          <w:ilvl w:val="0"/>
          <w:numId w:val="6"/>
        </w:numPr>
        <w:jc w:val="both"/>
      </w:pPr>
      <w:r w:rsidRPr="000739B4">
        <w:t>Miejsca pracy utworzone we wspieranych jednostkach</w:t>
      </w:r>
    </w:p>
    <w:p w:rsidR="001D2003" w:rsidRPr="000739B4" w:rsidRDefault="009161E9" w:rsidP="009161E9">
      <w:pPr>
        <w:pStyle w:val="Akapitzlist"/>
        <w:numPr>
          <w:ilvl w:val="0"/>
          <w:numId w:val="6"/>
        </w:numPr>
        <w:jc w:val="both"/>
      </w:pPr>
      <w:r w:rsidRPr="000739B4">
        <w:t>Liczba wspartych dużych, małych i mikro przedsiębiorstw</w:t>
      </w:r>
    </w:p>
    <w:p w:rsidR="000739B4" w:rsidRPr="00CF277A" w:rsidRDefault="000739B4" w:rsidP="009161E9">
      <w:pPr>
        <w:jc w:val="both"/>
      </w:pPr>
    </w:p>
    <w:sectPr w:rsidR="000739B4" w:rsidRPr="00CF27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E7C34"/>
    <w:multiLevelType w:val="hybridMultilevel"/>
    <w:tmpl w:val="EF541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91EA1"/>
    <w:multiLevelType w:val="hybridMultilevel"/>
    <w:tmpl w:val="6F12997C"/>
    <w:lvl w:ilvl="0" w:tplc="9D4CF5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22A1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F60D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96E1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84E4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D24D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6C42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2673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323D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CEB1E35"/>
    <w:multiLevelType w:val="hybridMultilevel"/>
    <w:tmpl w:val="FF2E2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245BC4"/>
    <w:multiLevelType w:val="hybridMultilevel"/>
    <w:tmpl w:val="867243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FD6A89"/>
    <w:multiLevelType w:val="hybridMultilevel"/>
    <w:tmpl w:val="D100AC32"/>
    <w:lvl w:ilvl="0" w:tplc="77EAC4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04A8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C05F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6E66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3A79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20B6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7043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4405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7E56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81F4AEF"/>
    <w:multiLevelType w:val="hybridMultilevel"/>
    <w:tmpl w:val="CB24BF90"/>
    <w:lvl w:ilvl="0" w:tplc="890E48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448C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9608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A425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FA3B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2CCB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C051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94E9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B4E6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CF0"/>
    <w:rsid w:val="000739B4"/>
    <w:rsid w:val="0014228A"/>
    <w:rsid w:val="001424FB"/>
    <w:rsid w:val="001D2003"/>
    <w:rsid w:val="003503B7"/>
    <w:rsid w:val="004B299E"/>
    <w:rsid w:val="00572BC4"/>
    <w:rsid w:val="00606540"/>
    <w:rsid w:val="0081545C"/>
    <w:rsid w:val="009161E9"/>
    <w:rsid w:val="009F66CE"/>
    <w:rsid w:val="00C52ABB"/>
    <w:rsid w:val="00CD1CF0"/>
    <w:rsid w:val="00CF277A"/>
    <w:rsid w:val="00D24F24"/>
    <w:rsid w:val="00EC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CE871B-7C7B-4E8D-A854-791380DF9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2B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409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67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7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72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079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157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977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24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70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71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034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2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958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kkondziolka</dc:creator>
  <cp:keywords/>
  <dc:description/>
  <cp:lastModifiedBy>Jacek</cp:lastModifiedBy>
  <cp:revision>2</cp:revision>
  <dcterms:created xsi:type="dcterms:W3CDTF">2025-09-30T09:57:00Z</dcterms:created>
  <dcterms:modified xsi:type="dcterms:W3CDTF">2025-09-30T09:57:00Z</dcterms:modified>
</cp:coreProperties>
</file>